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4768" w14:textId="77777777" w:rsidR="000E36F0" w:rsidRDefault="002B1F3D">
      <w:pPr>
        <w:spacing w:after="36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Procedura postępowania w przypadku zagrożenia chorobą zakaźną</w:t>
      </w:r>
    </w:p>
    <w:p w14:paraId="398C184E" w14:textId="77777777" w:rsidR="000E36F0" w:rsidRDefault="002B1F3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Podstawa prawna: </w:t>
      </w:r>
    </w:p>
    <w:p w14:paraId="4E8D32AA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Ustawa z dnia 2 marca 2020 r. o szczególnych rozwiązaniach związanych z zapobieganiem, przeciwdziałaniem i zwalczaniem COVID-19, innych chorób zakaźnych oraz wywołanych nimi sytuacji kryzysowych </w:t>
      </w:r>
      <w:r>
        <w:rPr>
          <w:rFonts w:ascii="Times New Roman" w:hAnsi="Times New Roman" w:cs="Times New Roman"/>
        </w:rPr>
        <w:t>(Dz.U. z 2020 r. poz. 374),</w:t>
      </w:r>
    </w:p>
    <w:p w14:paraId="19DD84CB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</w:pPr>
      <w:r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>
        <w:rPr>
          <w:rFonts w:ascii="Times New Roman" w:hAnsi="Times New Roman" w:cs="Times New Roman"/>
        </w:rPr>
        <w:t xml:space="preserve"> (tj. Dz.U. z 2019 r. poz. 1239 ze zm.),</w:t>
      </w:r>
    </w:p>
    <w:p w14:paraId="623C1BD6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</w:pPr>
      <w:r>
        <w:rPr>
          <w:rFonts w:ascii="Times New Roman" w:hAnsi="Times New Roman" w:cs="Times New Roman"/>
          <w:i/>
        </w:rPr>
        <w:t>Ustawa z dnia 14 marca 1985 r. o Państwowej Inspekcji Sanitarnej</w:t>
      </w:r>
      <w:r>
        <w:rPr>
          <w:rFonts w:ascii="Times New Roman" w:hAnsi="Times New Roman" w:cs="Times New Roman"/>
        </w:rPr>
        <w:t xml:space="preserve"> (tj. Dz.U. z 2019 r. poz. 59 ze zm.),</w:t>
      </w:r>
    </w:p>
    <w:p w14:paraId="3704D482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</w:pPr>
      <w:r>
        <w:rPr>
          <w:rFonts w:ascii="Times New Roman" w:hAnsi="Times New Roman" w:cs="Times New Roman"/>
          <w:i/>
        </w:rPr>
        <w:t>Ustawa z dnia 14 grudnia 2016 r. Prawo oświatowe</w:t>
      </w:r>
      <w:r>
        <w:rPr>
          <w:rFonts w:ascii="Times New Roman" w:hAnsi="Times New Roman" w:cs="Times New Roman"/>
        </w:rPr>
        <w:t xml:space="preserve"> (tj. Dz.U. z 2019 r. poz. 1148 ze zm.),</w:t>
      </w:r>
    </w:p>
    <w:p w14:paraId="4F594B0E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Ustawa z dnia 18 lipca 2002 r. o świadczeniu usług drogą elektroniczną</w:t>
      </w:r>
      <w:r>
        <w:rPr>
          <w:rFonts w:ascii="Times New Roman" w:hAnsi="Times New Roman" w:cs="Times New Roman"/>
        </w:rPr>
        <w:t xml:space="preserve"> (tj. Dz.U. z 2020 r. poz. 344),</w:t>
      </w:r>
    </w:p>
    <w:p w14:paraId="2FA12B08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Rozporządzenie Ministra Edukacji Narodowej i Sportu z dnia 31 grudnia 2002 r. w sprawie bezpieczeństwa i higieny w publicznych i niepublicznych szkołach i placówkach</w:t>
      </w:r>
      <w:r>
        <w:rPr>
          <w:rFonts w:ascii="Times New Roman" w:hAnsi="Times New Roman" w:cs="Times New Roman"/>
        </w:rPr>
        <w:t xml:space="preserve"> (Dz.U. z 2003 r. Nr 6 poz. 69 ze zm.),</w:t>
      </w:r>
    </w:p>
    <w:p w14:paraId="54FCAEAB" w14:textId="77777777" w:rsidR="000E36F0" w:rsidRDefault="002B1F3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Ustawa z dnia 25 czerwca 1999 r. o świadczeniach pieniężnych z ubezpieczenia społecznego w razie choroby i macierzyństwa</w:t>
      </w:r>
      <w:r>
        <w:rPr>
          <w:rFonts w:ascii="Times New Roman" w:hAnsi="Times New Roman" w:cs="Times New Roman"/>
        </w:rPr>
        <w:t xml:space="preserve"> (Dz.U. z 2019 r. poz. 645 ze zm.).</w:t>
      </w:r>
    </w:p>
    <w:p w14:paraId="7CC5AB03" w14:textId="77777777" w:rsidR="000E36F0" w:rsidRDefault="002B1F3D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463E8A93" w14:textId="77777777" w:rsidR="000E36F0" w:rsidRDefault="002B1F3D">
      <w:pPr>
        <w:spacing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 i przedmiot procedury</w:t>
      </w:r>
    </w:p>
    <w:p w14:paraId="6857063D" w14:textId="77777777" w:rsidR="000E36F0" w:rsidRDefault="002B1F3D">
      <w:pPr>
        <w:numPr>
          <w:ilvl w:val="0"/>
          <w:numId w:val="2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niniejszej procedury jest ustalenie zasad postępowania w przypadku wykrycia zagrożenia występowania w placówce choroby zakaźnej oraz zminimalizowanie niebezpieczeństwa zarażenia się dzieci zdrowych.</w:t>
      </w:r>
    </w:p>
    <w:p w14:paraId="6D972E05" w14:textId="77777777" w:rsidR="000E36F0" w:rsidRDefault="002B1F3D">
      <w:pPr>
        <w:numPr>
          <w:ilvl w:val="0"/>
          <w:numId w:val="2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14:paraId="5BCD6A2E" w14:textId="77777777" w:rsidR="000E36F0" w:rsidRDefault="002B1F3D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726F43FE" w14:textId="77777777" w:rsidR="000E36F0" w:rsidRDefault="002B1F3D">
      <w:pPr>
        <w:spacing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Zasady profilaktyki</w:t>
      </w:r>
    </w:p>
    <w:p w14:paraId="31906CF2" w14:textId="77777777" w:rsidR="000E36F0" w:rsidRDefault="002B1F3D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Zespołu Edukacyjnego w Bytnicy należą:</w:t>
      </w:r>
    </w:p>
    <w:p w14:paraId="0CB05B8E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dzieciom odpowiednich warunków sanitarnych, opiekuńczych i edukacyjnych (odpowiednia liczba sanitariatów, dostęp do papieru toaletowego i ręczników papierowych, zapewnienie odpowiednich warunków przechowywania szczoteczek i kubków dzieci, opracowanie planu higieny i jego egzekwowanie, bezpieczeństwo zdrowotne żywności),</w:t>
      </w:r>
    </w:p>
    <w:p w14:paraId="64B50FAE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zapewnienie warunków pozwalających zadbać o właściwą sprawność fizyczną dzieci, co wpływa na zmniejszenie liczby </w:t>
      </w:r>
      <w:proofErr w:type="spellStart"/>
      <w:r>
        <w:rPr>
          <w:rFonts w:ascii="Times New Roman" w:hAnsi="Times New Roman" w:cs="Times New Roman"/>
        </w:rPr>
        <w:t>zachorowań</w:t>
      </w:r>
      <w:proofErr w:type="spellEnd"/>
      <w:r>
        <w:rPr>
          <w:rFonts w:ascii="Times New Roman" w:hAnsi="Times New Roman" w:cs="Times New Roman"/>
        </w:rPr>
        <w:t>, zmusza organizm do zwiększenia wysiłku fizycznego, immunologicznego i metabolizmu, wzmacniających układ odpornościowy wychowanka,</w:t>
      </w:r>
    </w:p>
    <w:p w14:paraId="11276FCA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wietrzyć salę co  najmniej raz na godzinę, w czasie przerwy, a w razie potrzeby także w czasie zajęć.</w:t>
      </w:r>
    </w:p>
    <w:p w14:paraId="30F8493D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dzieci w zakresie:</w:t>
      </w:r>
    </w:p>
    <w:p w14:paraId="401E6D1F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prawidłowego korzystania z sanitariatów (podnoszenie, opuszczanie deski klozetowej, spuszczanie wody),</w:t>
      </w:r>
    </w:p>
    <w:p w14:paraId="6A4D0E6F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mycia rąk po skorzystaniu z toalety,</w:t>
      </w:r>
    </w:p>
    <w:p w14:paraId="292F9FCD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mycia rąk przed posiłkami i po posiłkach,</w:t>
      </w:r>
    </w:p>
    <w:p w14:paraId="23124F65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14:paraId="107C99F4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 wkładania zabawek do buzi, przestrzegania przed całowaniem się dzieci i zabawek, ochrony przed wkładaniem rąk do buzi, obgryzania paznokci,</w:t>
      </w:r>
    </w:p>
    <w:p w14:paraId="172AEB54" w14:textId="77777777" w:rsidR="000E36F0" w:rsidRDefault="002B1F3D">
      <w:pPr>
        <w:numPr>
          <w:ilvl w:val="0"/>
          <w:numId w:val="4"/>
        </w:numPr>
        <w:spacing w:line="312" w:lineRule="auto"/>
        <w:ind w:left="10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prawidłowego zachowania się podczas kichania i kaszlu, wycierania nosa w jednorazową chusteczkę;</w:t>
      </w:r>
    </w:p>
    <w:p w14:paraId="6492A624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okresowa kontrola czystości dzieci (włosy, paznokcie, ręce, odzież) za zgodą rodziców/opiekunów prawnych,</w:t>
      </w:r>
    </w:p>
    <w:p w14:paraId="68FCAEDC" w14:textId="77777777" w:rsidR="000E36F0" w:rsidRDefault="002B1F3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współpraca z rodzicami/opiekunami prawnymi w zakresie higieny dzieci oraz zdrowia.</w:t>
      </w:r>
    </w:p>
    <w:p w14:paraId="40CD0A75" w14:textId="77777777" w:rsidR="000E36F0" w:rsidRDefault="002B1F3D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151710DC" w14:textId="77777777" w:rsidR="000E36F0" w:rsidRDefault="002B1F3D">
      <w:pPr>
        <w:spacing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Obowiązki Zespołu Edukacyjnego w Bytnicy</w:t>
      </w:r>
    </w:p>
    <w:p w14:paraId="30EE800B" w14:textId="77777777" w:rsidR="000E36F0" w:rsidRDefault="002B1F3D">
      <w:pPr>
        <w:numPr>
          <w:ilvl w:val="0"/>
          <w:numId w:val="5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Państwowy Inspektor Sanitarny lub Główny Inspektor Sanitarny, w związku z prowadzonym dochodzeniem epidemiologicznym, mogą żądać udzielenia informacji o:</w:t>
      </w:r>
    </w:p>
    <w:p w14:paraId="48B301B5" w14:textId="77777777" w:rsidR="000E36F0" w:rsidRDefault="002B1F3D">
      <w:pPr>
        <w:numPr>
          <w:ilvl w:val="0"/>
          <w:numId w:val="6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osobach zakażonych lub podejrzanych o zakażenie, chorych lub podejrzanych o chorobę zakaźną, osobach zmarłych z powodu choroby zakaźnej lub osobach, wobec których istnieje takie podejrzenie,</w:t>
      </w:r>
    </w:p>
    <w:p w14:paraId="1655632F" w14:textId="77777777" w:rsidR="000E36F0" w:rsidRDefault="002B1F3D">
      <w:pPr>
        <w:numPr>
          <w:ilvl w:val="0"/>
          <w:numId w:val="6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osobach, które mogły mieć styczność z osobami, o których mowa w pkt 1,</w:t>
      </w:r>
    </w:p>
    <w:p w14:paraId="64CAC129" w14:textId="77777777" w:rsidR="000E36F0" w:rsidRDefault="002B1F3D">
      <w:pPr>
        <w:numPr>
          <w:ilvl w:val="0"/>
          <w:numId w:val="6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posiadaczach zwierząt, które mogły stanowić źródło narażenia na zakażenie lub chorobę zakaźną.</w:t>
      </w:r>
    </w:p>
    <w:p w14:paraId="51613FD9" w14:textId="77777777" w:rsidR="000E36F0" w:rsidRDefault="002B1F3D">
      <w:pPr>
        <w:numPr>
          <w:ilvl w:val="0"/>
          <w:numId w:val="5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osób, o których mowa w ust. 1, obejmują:</w:t>
      </w:r>
    </w:p>
    <w:p w14:paraId="1ADB4EA3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nazwisko,</w:t>
      </w:r>
    </w:p>
    <w:p w14:paraId="6A647EC8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urodzenia,</w:t>
      </w:r>
    </w:p>
    <w:p w14:paraId="2C60A802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PESEL, a w przypadku, gdy osobie nie nadano tego numeru – serię i numer paszportu albo numer identyfikacyjny innego dokumentu, na podstawie którego jest możliwe ustalenie danych osobowych,</w:t>
      </w:r>
    </w:p>
    <w:p w14:paraId="131A170B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płeć,</w:t>
      </w:r>
    </w:p>
    <w:p w14:paraId="6AF2AAF4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</w:t>
      </w:r>
    </w:p>
    <w:p w14:paraId="7A95480D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aktualnym miejscu pobytu,</w:t>
      </w:r>
    </w:p>
    <w:p w14:paraId="4BFA0CD7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 oraz adres poczty elektronicznej lub innych środków komunikacji elektronicznej,</w:t>
      </w:r>
    </w:p>
    <w:p w14:paraId="52CB6028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chorobotwórczego,</w:t>
      </w:r>
    </w:p>
    <w:p w14:paraId="5F34C661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okoliczności narażenia na zakażenie, ze szczególnym uwzględnieniem czynników ryzyka,</w:t>
      </w:r>
    </w:p>
    <w:p w14:paraId="06AB6E01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trasę podróży krajowej lub międzynarodowej oraz wykorzystywane podczas niej przez osobę chorą lub zakażoną środki transportu,</w:t>
      </w:r>
    </w:p>
    <w:p w14:paraId="79A7CC04" w14:textId="77777777" w:rsidR="000E36F0" w:rsidRDefault="002B1F3D">
      <w:pPr>
        <w:numPr>
          <w:ilvl w:val="0"/>
          <w:numId w:val="7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miejsca pobytu osoby zakażonej w okresie wylęgania choroby.</w:t>
      </w:r>
    </w:p>
    <w:p w14:paraId="354AA360" w14:textId="77777777" w:rsidR="000E36F0" w:rsidRDefault="002B1F3D">
      <w:pPr>
        <w:numPr>
          <w:ilvl w:val="0"/>
          <w:numId w:val="8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zapobieżenia szerzeniu się zakażeń lub chorób zakaźnych Państwowy Powiatowy Inspektor Sanitarny lub Państwowy Graniczny Inspektor Sanitarny mogą, w drodze decyzji:</w:t>
      </w:r>
    </w:p>
    <w:p w14:paraId="0B6A5F56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zakaz wstępu do pomieszczeń skażonych,</w:t>
      </w:r>
    </w:p>
    <w:p w14:paraId="0AD82855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nakazać przeprowadzenie dekontaminacji, dezynsekcji lub deratyzacji nieruchomości lub pomieszczeń,</w:t>
      </w:r>
    </w:p>
    <w:p w14:paraId="2190004D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nakazać przeprowadzenie dekontaminacji przedmiotów, a jeżeli nie jest to możliwe – ich zniszczenie,</w:t>
      </w:r>
    </w:p>
    <w:p w14:paraId="2C683F06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zakaz korzystania z wody przeznaczonej do spożycia przez ludzi i na potrzeby gospodarcze, pochodzącej z ujęć, co do których istnieje podejrzenie skażenia biologicznymi czynnikami chorobotwórczymi,</w:t>
      </w:r>
    </w:p>
    <w:p w14:paraId="364693BC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celów,</w:t>
      </w:r>
    </w:p>
    <w:p w14:paraId="4C9E62DF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nakazać sekcję zwłok osoby zmarłej, u której rozpoznano lub podejrzewano zakażenie lub chorobę zakaźną,</w:t>
      </w:r>
    </w:p>
    <w:p w14:paraId="7343DB1A" w14:textId="77777777" w:rsidR="000E36F0" w:rsidRDefault="002B1F3D">
      <w:pPr>
        <w:numPr>
          <w:ilvl w:val="0"/>
          <w:numId w:val="9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zakazać wykonywania sekcji zwłok ludzi i zwierząt, gdy sekcja zwłok mogłaby prowadzić do zakażenia osób lub skażenia środowiska, z wyjątkiem przypadku, gdy zachodzi podejrzenie popełnienia przestępstwa.</w:t>
      </w:r>
    </w:p>
    <w:p w14:paraId="0D396956" w14:textId="77777777" w:rsidR="000E36F0" w:rsidRDefault="002B1F3D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6E8AC981" w14:textId="77777777" w:rsidR="000E36F0" w:rsidRDefault="002B1F3D">
      <w:pPr>
        <w:spacing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Postępowanie w razie podejrzenia choroby</w:t>
      </w:r>
    </w:p>
    <w:p w14:paraId="5D613BB8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Rodzicom zaleca się zostawić w domu dziecko, które wykazuje objawy choroby – słania się na nogach, wymiotuje, ma biegunkę, wysoką temperaturę ciała, duszności, zmiany skórne świadczące o chorobie zakaźnej lub występowaniu pasożytów.</w:t>
      </w:r>
    </w:p>
    <w:p w14:paraId="763CE45F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objawów, o których mowa w ust. 1, w trakcie pobytu dziecka w szkole, przedszkolu należy przeprowadzić rozmowę z dzieckiem dotyczącą objawów złego samopoczucia.</w:t>
      </w:r>
    </w:p>
    <w:p w14:paraId="19120B3F" w14:textId="28D04375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podejrzeniu wystąpienia niebezpiecznej choroby zakaźnej u dziecka należy powiadomić dyrektora przedszkola,</w:t>
      </w:r>
    </w:p>
    <w:p w14:paraId="644637BE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dziecko manifestuje, przejawia niepokojące objawy choroby należy odizolować je w odrębnym pomieszczeniu lub wyznaczonym miejscu z zapewnieniem minimum 2m odległości od innych osób.</w:t>
      </w:r>
    </w:p>
    <w:p w14:paraId="74D55547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wyznacza odpowiednią osobę do przejęcia opieki nad dzieckiem, poinformowanie (wezwanie) rodziców bądź opiekunów i oczekiwania na ich przyjazd.</w:t>
      </w:r>
    </w:p>
    <w:p w14:paraId="37357C28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14:paraId="19E8CBA6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Dyrektor powiadamia organ prowadzący przedszkola oraz kuratorium oświaty o zagrożeniu epidemiologicznym w przedszkolu.</w:t>
      </w:r>
    </w:p>
    <w:p w14:paraId="12D94CDD" w14:textId="77777777" w:rsidR="000E36F0" w:rsidRDefault="002B1F3D">
      <w:pPr>
        <w:numPr>
          <w:ilvl w:val="0"/>
          <w:numId w:val="10"/>
        </w:numPr>
        <w:spacing w:line="312" w:lineRule="auto"/>
        <w:ind w:left="357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Dyrektor powiadamia rodziców o zagrożeniu w  celu pilnego odebrania dziecka z podmiotu.</w:t>
      </w:r>
    </w:p>
    <w:p w14:paraId="35667E8C" w14:textId="77777777" w:rsidR="000E36F0" w:rsidRDefault="002B1F3D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3811868B" w14:textId="77777777" w:rsidR="000E36F0" w:rsidRDefault="002B1F3D">
      <w:pPr>
        <w:spacing w:after="12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Zakażenia i choroby zakaźne wywołane wirusem SARS-CoV-2</w:t>
      </w:r>
    </w:p>
    <w:p w14:paraId="1363597E" w14:textId="77777777" w:rsidR="000E36F0" w:rsidRDefault="002B1F3D">
      <w:pPr>
        <w:numPr>
          <w:ilvl w:val="0"/>
          <w:numId w:val="1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SARS-CoV-2 zwana jest dalej „COVID-19”.</w:t>
      </w:r>
    </w:p>
    <w:p w14:paraId="656CE5D4" w14:textId="77777777" w:rsidR="000E36F0" w:rsidRDefault="002B1F3D">
      <w:pPr>
        <w:numPr>
          <w:ilvl w:val="0"/>
          <w:numId w:val="1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przeciwdziałania COVID-19 dyrektor może polecić pracownikowi przedszkola wykonywanie, przez czas oznaczony, pracy określonej w umowie o pracę poza miejscem jej stałego wykonywania (praca zdalna).</w:t>
      </w:r>
    </w:p>
    <w:p w14:paraId="1DB9D28E" w14:textId="51B7CDEA" w:rsidR="000E36F0" w:rsidRDefault="002B1F3D">
      <w:pPr>
        <w:numPr>
          <w:ilvl w:val="0"/>
          <w:numId w:val="11"/>
        </w:numPr>
        <w:spacing w:line="312" w:lineRule="auto"/>
        <w:ind w:left="357" w:hanging="35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 przypadku zamknięcia przedszkola z powodu COVID-19, ubezpieczonemu zwolnionemu od wykonywania pracy z powodu konieczności osobistego sprawowania opieki nad dzieckiem, o którym mowa w art. 32 ust. 1 pkt 1 </w:t>
      </w:r>
      <w:r>
        <w:rPr>
          <w:rFonts w:ascii="Times New Roman" w:hAnsi="Times New Roman" w:cs="Times New Roman"/>
          <w:i/>
          <w:spacing w:val="-2"/>
        </w:rPr>
        <w:t xml:space="preserve">Ustawy z dnia 25 czerwca 1999 r. o </w:t>
      </w:r>
      <w:r>
        <w:rPr>
          <w:rFonts w:ascii="Times New Roman" w:hAnsi="Times New Roman" w:cs="Times New Roman"/>
          <w:i/>
          <w:spacing w:val="-2"/>
        </w:rPr>
        <w:lastRenderedPageBreak/>
        <w:t>świadczeniach pieniężnych z ubezpieczenia społecznego w razie choroby i macierzyństwa</w:t>
      </w:r>
      <w:r>
        <w:rPr>
          <w:rFonts w:ascii="Times New Roman" w:hAnsi="Times New Roman" w:cs="Times New Roman"/>
          <w:spacing w:val="-2"/>
        </w:rPr>
        <w:t xml:space="preserve"> przysługuje dodatkowy zasiłek opiekuńczy za okres nie dłuższy niż 14 dni.</w:t>
      </w:r>
    </w:p>
    <w:p w14:paraId="7CCF5192" w14:textId="77777777" w:rsidR="000E36F0" w:rsidRDefault="002B1F3D">
      <w:pPr>
        <w:numPr>
          <w:ilvl w:val="0"/>
          <w:numId w:val="1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może wydawać polecenia obowiązujące w przedszkolu w związku z przeciwdziałaniem COVID-19. Polecenia podlegają natychmiastowemu wykonaniu. O wydanych poleceniach wojewoda niezwłocznie informuje właściwego ministra.</w:t>
      </w:r>
    </w:p>
    <w:p w14:paraId="387952E3" w14:textId="77777777" w:rsidR="000E36F0" w:rsidRDefault="002B1F3D">
      <w:pPr>
        <w:numPr>
          <w:ilvl w:val="0"/>
          <w:numId w:val="11"/>
        </w:numPr>
        <w:spacing w:line="312" w:lineRule="auto"/>
        <w:ind w:left="357" w:hanging="357"/>
        <w:jc w:val="both"/>
      </w:pPr>
      <w:r>
        <w:rPr>
          <w:rFonts w:ascii="Times New Roman" w:hAnsi="Times New Roman" w:cs="Times New Roman"/>
        </w:rPr>
        <w:t xml:space="preserve">Polecenia, o których mowa w ust. 4, mogą być wydawane także ustnie, telefonicznie oraz za pomocą środków komunikacji elektronicznej w rozumieniu art. 2 pkt 5 </w:t>
      </w:r>
      <w:r>
        <w:rPr>
          <w:rFonts w:ascii="Times New Roman" w:hAnsi="Times New Roman" w:cs="Times New Roman"/>
          <w:i/>
        </w:rPr>
        <w:t>Ustawy z dnia 18 lipca 2002 r. o świadczeniu usług drogą elektroniczną</w:t>
      </w:r>
      <w:r>
        <w:rPr>
          <w:rFonts w:ascii="Times New Roman" w:hAnsi="Times New Roman" w:cs="Times New Roman"/>
        </w:rPr>
        <w:t xml:space="preserve"> lub za pomocą innych środków łączności.</w:t>
      </w:r>
    </w:p>
    <w:sectPr w:rsidR="000E36F0">
      <w:footerReference w:type="default" r:id="rId9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28FA" w14:textId="77777777" w:rsidR="00D15E5C" w:rsidRDefault="00D15E5C" w:rsidP="002B2FCB">
      <w:pPr>
        <w:spacing w:after="0" w:line="240" w:lineRule="auto"/>
      </w:pPr>
      <w:r>
        <w:separator/>
      </w:r>
    </w:p>
  </w:endnote>
  <w:endnote w:type="continuationSeparator" w:id="0">
    <w:p w14:paraId="13FD749B" w14:textId="77777777" w:rsidR="00D15E5C" w:rsidRDefault="00D15E5C" w:rsidP="002B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2887306"/>
      <w:docPartObj>
        <w:docPartGallery w:val="Page Numbers (Bottom of Page)"/>
        <w:docPartUnique/>
      </w:docPartObj>
    </w:sdtPr>
    <w:sdtContent>
      <w:p w14:paraId="00C9502A" w14:textId="3002DE0F" w:rsidR="002B2FCB" w:rsidRDefault="002B2F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045CB" w14:textId="77777777" w:rsidR="002B2FCB" w:rsidRDefault="002B2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C390" w14:textId="77777777" w:rsidR="00D15E5C" w:rsidRDefault="00D15E5C" w:rsidP="002B2FCB">
      <w:pPr>
        <w:spacing w:after="0" w:line="240" w:lineRule="auto"/>
      </w:pPr>
      <w:r>
        <w:separator/>
      </w:r>
    </w:p>
  </w:footnote>
  <w:footnote w:type="continuationSeparator" w:id="0">
    <w:p w14:paraId="647CD4D1" w14:textId="77777777" w:rsidR="00D15E5C" w:rsidRDefault="00D15E5C" w:rsidP="002B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5EC1"/>
    <w:multiLevelType w:val="multilevel"/>
    <w:tmpl w:val="11175EC1"/>
    <w:lvl w:ilvl="0">
      <w:start w:val="1"/>
      <w:numFmt w:val="lowerLetter"/>
      <w:lvlText w:val="%1)"/>
      <w:lvlJc w:val="left"/>
      <w:pPr>
        <w:ind w:left="1006" w:hanging="323"/>
      </w:pPr>
    </w:lvl>
    <w:lvl w:ilvl="1">
      <w:start w:val="1"/>
      <w:numFmt w:val="lowerLetter"/>
      <w:lvlText w:val="%2."/>
      <w:lvlJc w:val="left"/>
      <w:pPr>
        <w:ind w:left="1763" w:hanging="360"/>
      </w:pPr>
    </w:lvl>
    <w:lvl w:ilvl="2">
      <w:start w:val="1"/>
      <w:numFmt w:val="lowerRoman"/>
      <w:lvlText w:val="%3."/>
      <w:lvlJc w:val="right"/>
      <w:pPr>
        <w:ind w:left="2483" w:hanging="180"/>
      </w:pPr>
    </w:lvl>
    <w:lvl w:ilvl="3">
      <w:start w:val="1"/>
      <w:numFmt w:val="decimal"/>
      <w:lvlText w:val="%4."/>
      <w:lvlJc w:val="left"/>
      <w:pPr>
        <w:ind w:left="3203" w:hanging="360"/>
      </w:pPr>
    </w:lvl>
    <w:lvl w:ilvl="4">
      <w:start w:val="1"/>
      <w:numFmt w:val="lowerLetter"/>
      <w:lvlText w:val="%5."/>
      <w:lvlJc w:val="left"/>
      <w:pPr>
        <w:ind w:left="3923" w:hanging="360"/>
      </w:pPr>
    </w:lvl>
    <w:lvl w:ilvl="5">
      <w:start w:val="1"/>
      <w:numFmt w:val="lowerRoman"/>
      <w:lvlText w:val="%6."/>
      <w:lvlJc w:val="right"/>
      <w:pPr>
        <w:ind w:left="4643" w:hanging="180"/>
      </w:pPr>
    </w:lvl>
    <w:lvl w:ilvl="6">
      <w:start w:val="1"/>
      <w:numFmt w:val="decimal"/>
      <w:lvlText w:val="%7."/>
      <w:lvlJc w:val="left"/>
      <w:pPr>
        <w:ind w:left="5363" w:hanging="360"/>
      </w:pPr>
    </w:lvl>
    <w:lvl w:ilvl="7">
      <w:start w:val="1"/>
      <w:numFmt w:val="lowerLetter"/>
      <w:lvlText w:val="%8."/>
      <w:lvlJc w:val="left"/>
      <w:pPr>
        <w:ind w:left="6083" w:hanging="360"/>
      </w:pPr>
    </w:lvl>
    <w:lvl w:ilvl="8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1BB535D8"/>
    <w:multiLevelType w:val="multilevel"/>
    <w:tmpl w:val="1BB5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67A"/>
    <w:multiLevelType w:val="multilevel"/>
    <w:tmpl w:val="1BEE36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F2A2A"/>
    <w:multiLevelType w:val="multilevel"/>
    <w:tmpl w:val="20EF2A2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CF02F7"/>
    <w:multiLevelType w:val="multilevel"/>
    <w:tmpl w:val="2ACF02F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2ED"/>
    <w:multiLevelType w:val="multilevel"/>
    <w:tmpl w:val="5BB442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B12E8"/>
    <w:multiLevelType w:val="multilevel"/>
    <w:tmpl w:val="5CDB12E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5D106E50"/>
    <w:multiLevelType w:val="multilevel"/>
    <w:tmpl w:val="5D106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7D5BDD"/>
    <w:multiLevelType w:val="multilevel"/>
    <w:tmpl w:val="607D5BDD"/>
    <w:lvl w:ilvl="0">
      <w:start w:val="1"/>
      <w:numFmt w:val="decimal"/>
      <w:lvlText w:val="%1)"/>
      <w:lvlJc w:val="left"/>
      <w:pPr>
        <w:tabs>
          <w:tab w:val="left" w:pos="1077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left" w:pos="1437"/>
        </w:tabs>
        <w:ind w:left="1437" w:hanging="360"/>
      </w:pPr>
    </w:lvl>
    <w:lvl w:ilvl="2">
      <w:start w:val="1"/>
      <w:numFmt w:val="decimal"/>
      <w:lvlText w:val="%3)"/>
      <w:lvlJc w:val="left"/>
      <w:pPr>
        <w:tabs>
          <w:tab w:val="left" w:pos="1797"/>
        </w:tabs>
        <w:ind w:left="1797" w:hanging="360"/>
      </w:pPr>
    </w:lvl>
    <w:lvl w:ilvl="3">
      <w:start w:val="1"/>
      <w:numFmt w:val="decimal"/>
      <w:lvlText w:val="%4)"/>
      <w:lvlJc w:val="left"/>
      <w:pPr>
        <w:tabs>
          <w:tab w:val="left" w:pos="2157"/>
        </w:tabs>
        <w:ind w:left="2157" w:hanging="360"/>
      </w:pPr>
    </w:lvl>
    <w:lvl w:ilvl="4">
      <w:start w:val="1"/>
      <w:numFmt w:val="decimal"/>
      <w:lvlText w:val="%5)"/>
      <w:lvlJc w:val="left"/>
      <w:pPr>
        <w:tabs>
          <w:tab w:val="left" w:pos="2517"/>
        </w:tabs>
        <w:ind w:left="2517" w:hanging="360"/>
      </w:pPr>
    </w:lvl>
    <w:lvl w:ilvl="5">
      <w:start w:val="1"/>
      <w:numFmt w:val="decimal"/>
      <w:lvlText w:val="%6)"/>
      <w:lvlJc w:val="left"/>
      <w:pPr>
        <w:tabs>
          <w:tab w:val="left" w:pos="2877"/>
        </w:tabs>
        <w:ind w:left="2877" w:hanging="360"/>
      </w:pPr>
    </w:lvl>
    <w:lvl w:ilvl="6">
      <w:start w:val="1"/>
      <w:numFmt w:val="decimal"/>
      <w:lvlText w:val="%7)"/>
      <w:lvlJc w:val="left"/>
      <w:pPr>
        <w:tabs>
          <w:tab w:val="left" w:pos="3237"/>
        </w:tabs>
        <w:ind w:left="3237" w:hanging="360"/>
      </w:pPr>
    </w:lvl>
    <w:lvl w:ilvl="7">
      <w:start w:val="1"/>
      <w:numFmt w:val="decimal"/>
      <w:lvlText w:val="%8)"/>
      <w:lvlJc w:val="left"/>
      <w:pPr>
        <w:tabs>
          <w:tab w:val="left" w:pos="3597"/>
        </w:tabs>
        <w:ind w:left="3597" w:hanging="360"/>
      </w:pPr>
    </w:lvl>
    <w:lvl w:ilvl="8">
      <w:start w:val="1"/>
      <w:numFmt w:val="decimal"/>
      <w:lvlText w:val="%9)"/>
      <w:lvlJc w:val="left"/>
      <w:pPr>
        <w:tabs>
          <w:tab w:val="left" w:pos="3957"/>
        </w:tabs>
        <w:ind w:left="3957" w:hanging="360"/>
      </w:pPr>
    </w:lvl>
  </w:abstractNum>
  <w:abstractNum w:abstractNumId="9" w15:restartNumberingAfterBreak="0">
    <w:nsid w:val="69925226"/>
    <w:multiLevelType w:val="multilevel"/>
    <w:tmpl w:val="6992522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0E350D"/>
    <w:multiLevelType w:val="multilevel"/>
    <w:tmpl w:val="6C0E35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0C"/>
    <w:rsid w:val="000E36F0"/>
    <w:rsid w:val="00134B0C"/>
    <w:rsid w:val="00226616"/>
    <w:rsid w:val="0024616B"/>
    <w:rsid w:val="002B1F3D"/>
    <w:rsid w:val="002B2FCB"/>
    <w:rsid w:val="003501FE"/>
    <w:rsid w:val="004B079D"/>
    <w:rsid w:val="008D43B6"/>
    <w:rsid w:val="00D15E5C"/>
    <w:rsid w:val="16882FB6"/>
    <w:rsid w:val="4DA9136B"/>
    <w:rsid w:val="5C26354F"/>
    <w:rsid w:val="67E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6A6"/>
  <w15:docId w15:val="{F692B184-09D8-43A7-92AB-5F840FF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</w:style>
  <w:style w:type="character" w:customStyle="1" w:styleId="WW8Num1z0">
    <w:name w:val="WW8Num1z0"/>
    <w:qFormat/>
    <w:rPr>
      <w:rFonts w:eastAsia="NSimSun" w:cs="Lucida San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15z0">
    <w:name w:val="WW8Num15z0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B2FC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FC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D0CD0-5FF5-443D-B98D-5D92E97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6909</Characters>
  <Application>Microsoft Office Word</Application>
  <DocSecurity>0</DocSecurity>
  <Lines>57</Lines>
  <Paragraphs>16</Paragraphs>
  <ScaleCrop>false</ScaleCrop>
  <Company>HP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Aneta Magdziarz</cp:lastModifiedBy>
  <cp:revision>2</cp:revision>
  <cp:lastPrinted>2020-05-01T09:21:00Z</cp:lastPrinted>
  <dcterms:created xsi:type="dcterms:W3CDTF">2020-09-01T17:55:00Z</dcterms:created>
  <dcterms:modified xsi:type="dcterms:W3CDTF">2020-09-01T17:55:00Z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1033-11.2.0.8342</vt:lpwstr>
  </property>
</Properties>
</file>